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F7" w:rsidRPr="00F33AF7" w:rsidRDefault="00F33AF7" w:rsidP="00F33A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6"/>
          <w:szCs w:val="20"/>
          <w:lang w:eastAsia="ru-RU"/>
        </w:rPr>
      </w:pPr>
      <w:bookmarkStart w:id="0" w:name="_GoBack"/>
      <w:bookmarkEnd w:id="0"/>
    </w:p>
    <w:p w:rsidR="00D265E5" w:rsidRPr="000F02CE" w:rsidRDefault="00D265E5" w:rsidP="00F33AF7">
      <w:pPr>
        <w:tabs>
          <w:tab w:val="left" w:pos="6096"/>
        </w:tabs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t>Порядок работы</w:t>
      </w:r>
      <w:r w:rsidRPr="000F02CE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br/>
        <w:t xml:space="preserve">комиссии Управления Федеральной налоговой службы по </w:t>
      </w:r>
      <w:r w:rsidR="00741B0D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t xml:space="preserve"> области по соблюдению требований к служебному поведению государственных гражданских служащих УФНС России по </w:t>
      </w:r>
      <w:r w:rsidR="00741B0D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b/>
          <w:bCs/>
          <w:color w:val="000000"/>
          <w:sz w:val="26"/>
          <w:szCs w:val="21"/>
          <w:lang w:eastAsia="ru-RU"/>
        </w:rPr>
        <w:t xml:space="preserve"> области и урегулированию конфликта интересов</w:t>
      </w:r>
    </w:p>
    <w:p w:rsidR="00D265E5" w:rsidRPr="000F02CE" w:rsidRDefault="000F02CE" w:rsidP="000F02CE">
      <w:pPr>
        <w:tabs>
          <w:tab w:val="left" w:pos="2835"/>
          <w:tab w:val="left" w:pos="3119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                                                 </w:t>
      </w:r>
      <w:r w:rsidR="00D265E5"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I.  Общие положения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1. Настоящим документом определяется порядок работы комиссии Управления Федеральной налоговой службы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 по соблюдению требований к служебному поведению государственных гражданских служащих УФНС России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 и урегулированию конфлик</w:t>
      </w:r>
      <w:r w:rsidR="00414A88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та интересов (далее - комиссия).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2.  </w:t>
      </w: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м законом от 25.12.2008 № 273-ФЗ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«О противодействии коррупции», Федеральным законом от 27.07.2004 № 79-ФЗ «О государственной гражданской службе Российской Федерации» (далее - Федеральный закон), Положением о комиссиях по соблюдению требований к служебному поведению государственных гражданских служащих Российской Федерации и урегулированию конфликта</w:t>
      </w:r>
      <w:proofErr w:type="gramEnd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интересов, утвержденным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Национальным планом противодействия коррупции, утвержденным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Указом Президента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Российской Федерации 11.04.2014 № 226, а также настоящим Порядком. 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3.  Основными задачами комиссии являются: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а) содействие УФНС России по </w:t>
      </w:r>
      <w:r w:rsidR="00414A88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(далее – Управление) 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в обеспечении соблюдения государственными гражданскими служащими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Управления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(далее - гражданские служащие, гражданский служащий) требований к служебному поведению;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б) содействие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Управления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в) осуществление в пределах своих полномочий деятельности, направленной на противодействие коррупции в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Управлении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4.   </w:t>
      </w: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федеральной государственной гражданской службы УФНС России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области, а также должности начальников и заместителей начальников инспекций ФНС России межрайонного, районного уровня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 (далее - должности гражданской службы).</w:t>
      </w:r>
      <w:proofErr w:type="gramEnd"/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lastRenderedPageBreak/>
        <w:t xml:space="preserve">Комиссия осуществляет следующие полномочия в области противодействия коррупции: </w:t>
      </w:r>
    </w:p>
    <w:p w:rsidR="00D265E5" w:rsidRPr="000F02CE" w:rsidRDefault="00414A88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-   </w:t>
      </w:r>
      <w:r w:rsidR="00D265E5"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координирует реализацию антикоррупционной политики ФНС России;</w:t>
      </w:r>
    </w:p>
    <w:p w:rsidR="00D265E5" w:rsidRPr="000F02CE" w:rsidRDefault="00414A88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-  </w:t>
      </w:r>
      <w:r w:rsidR="00D265E5"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изучает, анализирует и обобщает поступающие в комиссию из структурного подразделения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Управления</w:t>
      </w:r>
      <w:r w:rsidR="00D265E5"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по профилактике коррупционных нарушений документы и иные материалы о коррупции и противодействии коррупции, а также информирует гражданских служащих о результатах этой работы.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4.1. </w:t>
      </w: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При работе комиссии гражданским служащим гар</w:t>
      </w:r>
      <w:r w:rsid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антируется соблюдение их прав, 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предоставленных Конституцией Российской Федерации, законодательством Российской Федерации о государственной гражданской службе, Указами Президента Российской Федерации, постановлениями Правительства Российской Федерации, Положением об Управлении Федеральной налоговой службы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области, Служебным распорядком УФНС России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области, иными нормативными правовыми актами, а также заключенными с ними служебными контрактами и их должностными регламентами</w:t>
      </w:r>
      <w:r w:rsid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.</w:t>
      </w:r>
      <w:proofErr w:type="gramEnd"/>
    </w:p>
    <w:p w:rsidR="00D265E5" w:rsidRPr="000F02CE" w:rsidRDefault="00D265E5" w:rsidP="00D26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II.   Порядок работы комиссии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5.  Основанием для проведения заседания комиссии является: 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статьей 18 Федерального закона;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б)  информация о наличии у гражданского служащего личной заинтересованности, которая приводит или может привести к конфликту интересов;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в)     информация о признаках и фактах коррупционной деятельности, поступившая из структурного подразделения </w:t>
      </w:r>
      <w:r w:rsidR="009B64D7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Управления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по профилактике коррупционных нарушений.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6.  Информация, указанная в пункте 5 настоящего Порядка, должна быть представлена в письменном виде и содержать следующие сведения: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а)  фамилию, имя, отчество гражданского служащего и замещаемую им должность гражданской службы;</w:t>
      </w:r>
    </w:p>
    <w:p w:rsidR="00D265E5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б) 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414A88" w:rsidRPr="000F02CE" w:rsidRDefault="00414A88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в)</w:t>
      </w:r>
      <w:r w:rsidR="00414A88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данные об источнике информации.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7.   В комиссию могут быть представлены материалы, подтверждающие нарушение гражданским служащим требований к служебному поведению или наличие у него 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lastRenderedPageBreak/>
        <w:t>личной заинтересованности, которая приводит или может привести к конфликту интересов.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8. 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9.   Председатель комиссии в 3-дневный срок со дня поступления информации, указанной в пункте 5 настоящего Порядка, выносит решение о проведении проверки этой информации, в том числе материалов, указанных в пункте 7 настоящего Порядка.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В случае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гражданским служащим его должностных обязанностей, отстранение гражданского служащего от замещаемой должности гражданской службы на период урегулирования конфликта</w:t>
      </w:r>
      <w:proofErr w:type="gramEnd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интересов или иные меры.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10. По письменному запросу председателя комиссии представитель нанимателя или руководитель специально уполномоченного им подразделения государственного органа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11. 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 настоящего Порядка.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</w:t>
      </w:r>
      <w:r w:rsid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,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чем за семь рабочих дней до дня заседания.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14. Заседание комиссии проводится в присутствии гражданского служащего. На заседании комиссии может присутствовать уполномоченный гражданским служащим 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lastRenderedPageBreak/>
        <w:t>представитель. Заседание комиссии переносится, если гражданский служащий не может участвовать в заседании по уважительной причине.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15. 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17. По итогам рассмотрения информации, указанной в подпункте «а» пункта 5 настоящего Порядка, комиссия может принять одно из следующих решений: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а)   установить, что в рассматриваемом случае не содержится признаков нарушения гражданским служащим требований к служебному поведению;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б) установить, что гражданский служащий нарушил требования к служебному поведению. В этом случае представителю нанимателя рекомендуется указать гражданскому служащему на недопустимость нарушения требований к служебному поведению, а также провести в государственном органе мероприятия по разъяснению гражданским служащим необходимости соблюдения требований к служебному поведению.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18. По итогам рассмотрения информации, указанной в подпункте «б» пункта 5 настоящего Порядка, комиссия может принять одно из следующих решений: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а) 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б) установить факт наличия личной заинтересованности гражданского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19.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265E5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20.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414A88" w:rsidRPr="000F02CE" w:rsidRDefault="00414A88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21. В решении комиссии указываются: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lastRenderedPageBreak/>
        <w:t>а) 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б) источник информации, ставшей основанием для проведения заседания комиссии;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в) дата поступления информации в комиссию и дата ее рассмотрения на заседании комиссии, существо информации;</w:t>
      </w:r>
    </w:p>
    <w:p w:rsidR="00D265E5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414A88" w:rsidRPr="000F02CE" w:rsidRDefault="00414A88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</w:p>
    <w:p w:rsidR="00D265E5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д) существо решения и его обоснование; </w:t>
      </w:r>
    </w:p>
    <w:p w:rsidR="00414A88" w:rsidRPr="000F02CE" w:rsidRDefault="00414A88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е) результаты голосования.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22.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23. Копии решения комиссии в течение трех дней со дня его принятия направляются представителю нанимателя, гражданскому служащему, а также по решению комиссии - иным заинтересованным лицам.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24. Решение комиссии может быть обжаловано гражданским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D265E5" w:rsidRPr="000F02CE" w:rsidRDefault="00414A88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25. </w:t>
      </w:r>
      <w:r w:rsidR="00D265E5"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В целях предотвращения или урегулирования конфликта интересов представитель нанимателя должен исключить возможность участия гражданского служащего в принятии решений по вопросам, с которыми связан конфликт интересов.</w:t>
      </w:r>
    </w:p>
    <w:p w:rsidR="00D265E5" w:rsidRPr="000F02CE" w:rsidRDefault="00D265E5" w:rsidP="000F02C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Представитель нанимателя вправе отстранить гражданского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частью 2 статьи 32 Федерального закона.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26. </w:t>
      </w: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lastRenderedPageBreak/>
        <w:t>обязанностей, которая может привести к конфликту интересов, а также в случае непринятия гражданским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может привлечь гражданского служащего к дисциплинарной ответственности в порядке, предусмотренном Федеральным законом. 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27. </w:t>
      </w:r>
      <w:proofErr w:type="gramStart"/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28. Решение комиссии, принятое в отношении гражданского служащего, хранится в его личном деле. 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29. Организационно-техническое и документационное обеспечение деятельности</w:t>
      </w:r>
      <w:r w:rsidR="00106FD2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комиссии возлагается на отдел безопасности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УФНС России по </w:t>
      </w:r>
      <w:r w:rsidR="00741B0D" w:rsidRPr="00741B0D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Самарской</w:t>
      </w: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 xml:space="preserve"> области. 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 </w:t>
      </w:r>
    </w:p>
    <w:p w:rsidR="00D265E5" w:rsidRPr="000F02CE" w:rsidRDefault="00D265E5" w:rsidP="000F02CE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</w:pPr>
      <w:r w:rsidRPr="000F02CE">
        <w:rPr>
          <w:rFonts w:ascii="Times New Roman" w:eastAsia="Times New Roman" w:hAnsi="Times New Roman" w:cs="Arial"/>
          <w:color w:val="000000"/>
          <w:sz w:val="26"/>
          <w:szCs w:val="21"/>
          <w:lang w:eastAsia="ru-RU"/>
        </w:rPr>
        <w:t>30. Копия решения комиссии и материалы, собранные в период работы комиссии, формируются в дело в соответствии с номенклатурой дел.</w:t>
      </w:r>
    </w:p>
    <w:p w:rsidR="007567A5" w:rsidRPr="00D265E5" w:rsidRDefault="007567A5" w:rsidP="000F02CE">
      <w:pPr>
        <w:ind w:left="-567"/>
      </w:pPr>
    </w:p>
    <w:sectPr w:rsidR="007567A5" w:rsidRPr="00D265E5" w:rsidSect="00A00F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5E" w:rsidRDefault="005E565E" w:rsidP="00A00FAC">
      <w:pPr>
        <w:spacing w:after="0" w:line="240" w:lineRule="auto"/>
      </w:pPr>
      <w:r>
        <w:separator/>
      </w:r>
    </w:p>
  </w:endnote>
  <w:endnote w:type="continuationSeparator" w:id="0">
    <w:p w:rsidR="005E565E" w:rsidRDefault="005E565E" w:rsidP="00A0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5E" w:rsidRDefault="005E565E" w:rsidP="00A00FAC">
      <w:pPr>
        <w:spacing w:after="0" w:line="240" w:lineRule="auto"/>
      </w:pPr>
      <w:r>
        <w:separator/>
      </w:r>
    </w:p>
  </w:footnote>
  <w:footnote w:type="continuationSeparator" w:id="0">
    <w:p w:rsidR="005E565E" w:rsidRDefault="005E565E" w:rsidP="00A0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57822"/>
      <w:docPartObj>
        <w:docPartGallery w:val="Page Numbers (Top of Page)"/>
        <w:docPartUnique/>
      </w:docPartObj>
    </w:sdtPr>
    <w:sdtEndPr/>
    <w:sdtContent>
      <w:p w:rsidR="00A00FAC" w:rsidRDefault="00A00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80">
          <w:rPr>
            <w:noProof/>
          </w:rPr>
          <w:t>6</w:t>
        </w:r>
        <w:r>
          <w:fldChar w:fldCharType="end"/>
        </w:r>
      </w:p>
    </w:sdtContent>
  </w:sdt>
  <w:p w:rsidR="00A00FAC" w:rsidRDefault="00A00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2"/>
    <w:rsid w:val="000F02CE"/>
    <w:rsid w:val="00106FD2"/>
    <w:rsid w:val="00414A88"/>
    <w:rsid w:val="005E565E"/>
    <w:rsid w:val="00741B0D"/>
    <w:rsid w:val="007567A5"/>
    <w:rsid w:val="007D2480"/>
    <w:rsid w:val="009B64D7"/>
    <w:rsid w:val="00A00FAC"/>
    <w:rsid w:val="00A026CF"/>
    <w:rsid w:val="00D265E5"/>
    <w:rsid w:val="00F33AF7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AC"/>
  </w:style>
  <w:style w:type="paragraph" w:styleId="a7">
    <w:name w:val="footer"/>
    <w:basedOn w:val="a"/>
    <w:link w:val="a8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AC"/>
  </w:style>
  <w:style w:type="paragraph" w:styleId="a7">
    <w:name w:val="footer"/>
    <w:basedOn w:val="a"/>
    <w:link w:val="a8"/>
    <w:uiPriority w:val="99"/>
    <w:unhideWhenUsed/>
    <w:rsid w:val="00A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6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Нижник Виктор Васильевич</cp:lastModifiedBy>
  <cp:revision>2</cp:revision>
  <cp:lastPrinted>2014-07-25T10:39:00Z</cp:lastPrinted>
  <dcterms:created xsi:type="dcterms:W3CDTF">2014-07-28T08:54:00Z</dcterms:created>
  <dcterms:modified xsi:type="dcterms:W3CDTF">2014-07-28T08:54:00Z</dcterms:modified>
</cp:coreProperties>
</file>